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10"/>
    <w:p>
      <w:pPr>
        <w:pStyle w:val="Heading1"/>
      </w:pPr>
      <w:r>
        <w:t xml:space="preserve">Homiletics Analysis: Hebrews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Hebrews 10 brings the epistle’s central theological argument to its climax and then pivots decisively toward exhortation. The chapter opens by contrasting the repeated animal sacrifices of the Mosaic system — which could never take away sin but only serve as an annual reminder of it — with the once-for-all sacrifice of Christ, whose single offering has permanently perfected those who are being sanctified (vv. 1–18). The author marshals Psalm 40 to show that Christ entered the world with a specific mission: not the animal sacrifices that pleased neither God nor conscience, but the offering of His own body as the will of God perfectly fulfilled. The citation of Jeremiah 31 (the new covenant promise of sins remembered no more) seals the argument: where there is forgiveness, there is no longer any offering for sin. The theological demonstration ends at verse 18.</w:t>
      </w:r>
    </w:p>
    <w:p>
      <w:pPr>
        <w:pStyle w:val="BodyText"/>
      </w:pPr>
      <w:r>
        <w:t xml:space="preserve">The chapter then turns sharply to application. Because we have a great High Priest whose blood has opened a new and living way into the very presence of God, we are called to draw near with confidence, hold fast our confession, and stir one another up to love and good works — not neglecting the assembly but all the more as the Day approaches (vv. 19–25). This is the</w:t>
      </w:r>
      <w:r>
        <w:t xml:space="preserve"> </w:t>
      </w:r>
      <w:r>
        <w:t xml:space="preserve">“therefore”</w:t>
      </w:r>
      <w:r>
        <w:t xml:space="preserve"> </w:t>
      </w:r>
      <w:r>
        <w:t xml:space="preserve">logic of the epistle: profound theology generates urgent practice.</w:t>
      </w:r>
    </w:p>
    <w:p>
      <w:pPr>
        <w:pStyle w:val="BodyText"/>
      </w:pPr>
      <w:r>
        <w:t xml:space="preserve">The chapter closes with one of the most sobering passages in all of Scripture — a severe warning against deliberate, willful apostasy (vv. 26–31), followed immediately by encouragement drawn from the readers’ own past faithfulness under suffering (vv. 32–39). The chapter ends on a note of confident expectation: the one who is coming will come; His people must not shrink back, but live by faith.</w:t>
      </w:r>
    </w:p>
    <w:p>
      <w:pPr>
        <w:pStyle w:val="BodyText"/>
      </w:pPr>
      <w:r>
        <w:rPr>
          <w:b/>
          <w:bCs/>
        </w:rPr>
        <w:t xml:space="preserve">This Text — Intent</w:t>
      </w:r>
    </w:p>
    <w:p>
      <w:pPr>
        <w:pStyle w:val="BodyText"/>
      </w:pPr>
      <w:r>
        <w:t xml:space="preserve">God is seeking to accomplish two things simultaneously through Hebrews 10: He is assuring genuine believers that Christ’s sacrifice is absolutely final and complete — there is nothing left to add, nothing needing repetition, and no ground for guilt before God — and He is pressing that assurance into urgent, irreversible motivational force for perseverance. The intent is not merely to inform readers that Christ’s work is sufficient; it is to drive them from that sufficiency toward confident access, covenantal community, mutual accountability, and enduring faith in the face of pressure to abandon Christ. The passage means to produce in the reader both a settled conscience and an unsettled complacency.</w:t>
      </w:r>
    </w:p>
    <w:p>
      <w:r>
        <w:pict>
          <v:rect style="width:0;height:1.5pt" o:hralign="center" o:hrstd="t" o:hr="t"/>
        </w:pict>
      </w:r>
    </w:p>
    <w:p>
      <w:pPr>
        <w:pStyle w:val="FirstParagraph"/>
      </w:pPr>
      <w:r>
        <w:rPr>
          <w:b/>
          <w:bCs/>
        </w:rPr>
        <w:t xml:space="preserve">Subject Sentence:</w:t>
      </w:r>
      <w:r>
        <w:t xml:space="preserve"> </w:t>
      </w:r>
      <w:r>
        <w:t xml:space="preserve">Christ’s once-for-all sacrifice perfects believers and demands bold, persevering faithfulness.</w:t>
      </w:r>
    </w:p>
    <w:p>
      <w:r>
        <w:pict>
          <v:rect style="width:0;height:1.5pt" o:hralign="center" o:hrstd="t" o:hr="t"/>
        </w:pict>
      </w:r>
    </w:p>
    <w:p>
      <w:pPr>
        <w:pStyle w:val="FirstParagraph"/>
      </w:pPr>
      <w:r>
        <w:rPr>
          <w:b/>
          <w:bCs/>
        </w:rPr>
        <w:t xml:space="preserve">Primary Claim:</w:t>
      </w:r>
      <w:r>
        <w:t xml:space="preserve"> </w:t>
      </w:r>
      <w:r>
        <w:t xml:space="preserve">Because Christ’s single sacrifice has permanently perfected all who are His, God is calling His people to stop treating their access to Him as uncertain, stop drifting from covenant community, and persevere in faith — the Day is coming and there is nowhere else to go.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Warning Passages (vv. 26–31) — Apostasy, Hypothetical, or Loss of Reward?</w:t>
      </w:r>
    </w:p>
    <w:p>
      <w:pPr>
        <w:pStyle w:val="BodyText"/>
      </w:pPr>
      <w:r>
        <w:t xml:space="preserve">The most contested interpretive territory in Hebrews 10 — indeed across the entire epistle — is the nature and target of the warning passages. Three major readings compete.</w:t>
      </w:r>
    </w:p>
    <w:p>
      <w:pPr>
        <w:pStyle w:val="BodyText"/>
      </w:pPr>
      <w:r>
        <w:rPr>
          <w:i/>
          <w:iCs/>
        </w:rPr>
        <w:t xml:space="preserve">Arminian/Wesleyan reading</w:t>
      </w:r>
      <w:r>
        <w:t xml:space="preserve">: The warning is addressed to genuine believers who may, through willful sin and apostasy, forfeit their salvation. On this reading, vv. 26–31 are straightforward: those who have been sanctified by the blood of the covenant (v. 29) can trample the Son of God and face fiery judgment. The warning is real and its object is genuine saving faith that may be finally lost.</w:t>
      </w:r>
    </w:p>
    <w:p>
      <w:pPr>
        <w:pStyle w:val="BodyText"/>
      </w:pPr>
      <w:r>
        <w:rPr>
          <w:i/>
          <w:iCs/>
        </w:rPr>
        <w:t xml:space="preserve">Dispensational/moderate Baptist reading</w:t>
      </w:r>
      <w:r>
        <w:t xml:space="preserve">: The warning is addressed to genuine believers but concerns loss of reward or temporal judgment, not eternal condemnation.</w:t>
      </w:r>
      <w:r>
        <w:t xml:space="preserve"> </w:t>
      </w:r>
      <w:r>
        <w:t xml:space="preserve">“Perishing”</w:t>
      </w:r>
      <w:r>
        <w:t xml:space="preserve"> </w:t>
      </w:r>
      <w:r>
        <w:t xml:space="preserve">categories are reread as consequence within salvation, not forfeiture of it. This reading preserves eternal security while taking the warning seriously as a consequentialist motivation.</w:t>
      </w:r>
    </w:p>
    <w:p>
      <w:pPr>
        <w:pStyle w:val="BodyText"/>
      </w:pPr>
      <w:r>
        <w:rPr>
          <w:i/>
          <w:iCs/>
        </w:rPr>
        <w:t xml:space="preserve">Reformed/covenant reading</w:t>
      </w:r>
      <w:r>
        <w:t xml:space="preserve">: The warning is addressed to the professing community, within which genuine believers and those who have made external profession without saving faith both sit. The severity of the warning is real — the described apostasy leads to genuine eternal condemnation — but the writer does not conclude that true believers will fall into it. The logic runs: (a) the warning is genuine in its severity; (b) it is addressed to the visible covenant community; (c) genuine believers are preserved through such warnings as one of the means God uses to keep them; (d) those who do fall away demonstrate by falling away that they were never truly of the company of faith (cf. 1 John 2:19). This reading is confirmed by the author’s own confidence expressed immediately after each warning:</w:t>
      </w:r>
      <w:r>
        <w:t xml:space="preserve"> </w:t>
      </w:r>
      <w:r>
        <w:t xml:space="preserve">“But in your case, beloved, we are persuaded of better things — things that belong to salvation”</w:t>
      </w:r>
      <w:r>
        <w:t xml:space="preserve"> </w:t>
      </w:r>
      <w:r>
        <w:t xml:space="preserve">(Heb. 6:9).</w:t>
      </w:r>
    </w:p>
    <w:p>
      <w:pPr>
        <w:pStyle w:val="BodyText"/>
      </w:pPr>
      <w:r>
        <w:t xml:space="preserve">The Reformed reading is preferred because: (1) it takes the warning’s severity fully seriously without softening the language; (2) it is consistent with the epistle’s own pastoral pattern of severe warning followed by confident assurance; (3) it accounts for the phrase</w:t>
      </w:r>
      <w:r>
        <w:t xml:space="preserve"> </w:t>
      </w:r>
      <w:r>
        <w:t xml:space="preserve">“sanctified by the blood of the covenant”</w:t>
      </w:r>
      <w:r>
        <w:t xml:space="preserve"> </w:t>
      </w:r>
      <w:r>
        <w:t xml:space="preserve">as visible covenant participation rather than necessarily regenerate standing — a usage consistent with Old Testament covenant language where covenant members could be cut off; (4) it coheres with the broader canon’s testimony that those who are truly Christ’s will persevere (John 10:27–29; Rom. 8:38–39). The Arminian reading must explain away too many preservation texts; the rewards-only reading must soften language that is unmistakably condemnatory.</w:t>
      </w:r>
    </w:p>
    <w:p>
      <w:pPr>
        <w:pStyle w:val="BodyText"/>
      </w:pPr>
      <w:r>
        <w:rPr>
          <w:i/>
          <w:iCs/>
        </w:rPr>
        <w:t xml:space="preserve">Contribution worth retaining from other traditions</w:t>
      </w:r>
      <w:r>
        <w:t xml:space="preserve">: The Arminian reading is right that the warning cannot be emptied of force — it must be preached as a genuine and urgent warning, not a hypothetical addressed to people the preacher already assumes are saved. The pastoral instinct to press the warning is sound even where the theology of final perseverance is maintained.</w:t>
      </w:r>
    </w:p>
    <w:p>
      <w:pPr>
        <w:pStyle w:val="BodyText"/>
      </w:pPr>
      <w:r>
        <w:rPr>
          <w:b/>
          <w:bCs/>
        </w:rPr>
        <w:t xml:space="preserve">The</w:t>
      </w:r>
      <w:r>
        <w:rPr>
          <w:b/>
          <w:bCs/>
        </w:rPr>
        <w:t xml:space="preserve"> </w:t>
      </w:r>
      <w:r>
        <w:rPr>
          <w:b/>
          <w:bCs/>
        </w:rPr>
        <w:t xml:space="preserve">“Once-for-All”</w:t>
      </w:r>
      <w:r>
        <w:rPr>
          <w:b/>
          <w:bCs/>
        </w:rPr>
        <w:t xml:space="preserve"> </w:t>
      </w:r>
      <w:r>
        <w:rPr>
          <w:b/>
          <w:bCs/>
        </w:rPr>
        <w:t xml:space="preserve">Sacrifice and Roman Catholic Sacramental Theology</w:t>
      </w:r>
    </w:p>
    <w:p>
      <w:pPr>
        <w:pStyle w:val="BodyText"/>
      </w:pPr>
      <w:r>
        <w:t xml:space="preserve">Roman Catholic interpretation of Hebrews 10 has historically been forced to navigate tension with the doctrine of the Mass as a re-presentation (not mere memorial) of Christ’s sacrifice. The text states with unmistakable clarity:</w:t>
      </w:r>
      <w:r>
        <w:t xml:space="preserve"> </w:t>
      </w:r>
      <w:r>
        <w:t xml:space="preserve">“there is no longer any offering for sin”</w:t>
      </w:r>
      <w:r>
        <w:t xml:space="preserve"> </w:t>
      </w:r>
      <w:r>
        <w:t xml:space="preserve">(v. 18);</w:t>
      </w:r>
      <w:r>
        <w:t xml:space="preserve"> </w:t>
      </w:r>
      <w:r>
        <w:t xml:space="preserve">“by a single offering he has perfected for all time those who are being sanctified”</w:t>
      </w:r>
      <w:r>
        <w:t xml:space="preserve"> </w:t>
      </w:r>
      <w:r>
        <w:t xml:space="preserve">(v. 14). The Reformed reading takes this at full exegetical face value: the sacrificial system is not continued in any form; Christ’s offering was singular, definitive, and permanently efficacious. No subsequent ritual offering adds to, re-presents, or applies Christ’s sacrifice in a propitiatory sense. This is not a peripheral point in Hebrews 10 — it is the entire argument of the first eighteen verses. The Reformed reading is not only exegetically correct here; it is what the passage most plainly claims.</w:t>
      </w:r>
    </w:p>
    <w:p>
      <w:pPr>
        <w:pStyle w:val="BodyText"/>
      </w:pPr>
      <w:r>
        <w:rPr>
          <w:b/>
          <w:bCs/>
        </w:rPr>
        <w:t xml:space="preserve">The</w:t>
      </w:r>
      <w:r>
        <w:rPr>
          <w:b/>
          <w:bCs/>
        </w:rPr>
        <w:t xml:space="preserve"> </w:t>
      </w:r>
      <w:r>
        <w:rPr>
          <w:b/>
          <w:bCs/>
        </w:rPr>
        <w:t xml:space="preserve">“Drawing Near”</w:t>
      </w:r>
      <w:r>
        <w:rPr>
          <w:b/>
          <w:bCs/>
        </w:rPr>
        <w:t xml:space="preserve"> </w:t>
      </w:r>
      <w:r>
        <w:rPr>
          <w:b/>
          <w:bCs/>
        </w:rPr>
        <w:t xml:space="preserve">and Access to God (vv. 19–22)</w:t>
      </w:r>
    </w:p>
    <w:p>
      <w:pPr>
        <w:pStyle w:val="BodyText"/>
      </w:pPr>
      <w:r>
        <w:t xml:space="preserve">Some Pentecostal/charismatic interpretation locates the</w:t>
      </w:r>
      <w:r>
        <w:t xml:space="preserve"> </w:t>
      </w:r>
      <w:r>
        <w:t xml:space="preserve">“drawing near”</w:t>
      </w:r>
      <w:r>
        <w:t xml:space="preserve"> </w:t>
      </w:r>
      <w:r>
        <w:t xml:space="preserve">language primarily in experiential categories — especially heightened worship experience, Spirit-led encounter, or emotional access to God’s presence. This reading captures something genuine: access to God is not merely forensic and positional; it is relational and personal. However, the author’s framing is covenantal and ecclesial, not primarily experiential. The drawing near is grounded in objective realities: the blood of Jesus, the new and living way, the great High Priest. The primary posture called for is confidence (</w:t>
      </w:r>
      <w:r>
        <w:rPr>
          <w:i/>
          <w:iCs/>
        </w:rPr>
        <w:t xml:space="preserve">parresia</w:t>
      </w:r>
      <w:r>
        <w:t xml:space="preserve">), not emotional intensity. The Reformed reading holds both: access is real, personal, and relational — and it is grounded entirely in the objective work of Christ, not in the quality of the worshiper’s experience.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40:6–8</w:t>
      </w:r>
      <w:r>
        <w:t xml:space="preserve"> </w:t>
      </w:r>
      <w:r>
        <w:rPr>
          <w:i/>
          <w:iCs/>
        </w:rPr>
        <w:t xml:space="preserve">(cited in Heb. 10:5–7)</w:t>
      </w:r>
      <w:r>
        <w:t xml:space="preserve">: David’s confession that God desires obedience more than sacrifice is interpreted christologically — Christ enters the world as the one who does God’s will perfectly, offering the body prepared for Him as the sacrifice that replaces all others. This Old Testament text provides the scriptural grounding for the sufficiency of Christ’s offering.</w:t>
      </w:r>
    </w:p>
    <w:p>
      <w:pPr>
        <w:numPr>
          <w:ilvl w:val="0"/>
          <w:numId w:val="1001"/>
        </w:numPr>
      </w:pPr>
      <w:r>
        <w:rPr>
          <w:b/>
          <w:bCs/>
        </w:rPr>
        <w:t xml:space="preserve">Jeremiah 31:31–34</w:t>
      </w:r>
      <w:r>
        <w:t xml:space="preserve"> </w:t>
      </w:r>
      <w:r>
        <w:rPr>
          <w:i/>
          <w:iCs/>
        </w:rPr>
        <w:t xml:space="preserve">(cited in Heb. 10:16–17)</w:t>
      </w:r>
      <w:r>
        <w:t xml:space="preserve">: The new covenant promise —</w:t>
      </w:r>
      <w:r>
        <w:t xml:space="preserve"> </w:t>
      </w:r>
      <w:r>
        <w:t xml:space="preserve">“I will remember their sins no more”</w:t>
      </w:r>
      <w:r>
        <w:t xml:space="preserve"> </w:t>
      </w:r>
      <w:r>
        <w:t xml:space="preserve">— is the theological linchpin of the argument: where forgiveness is complete and final, no further offering is needed or possible. The prophetic anticipation is fulfilled in the finished work of Christ.</w:t>
      </w:r>
    </w:p>
    <w:p>
      <w:pPr>
        <w:numPr>
          <w:ilvl w:val="0"/>
          <w:numId w:val="1001"/>
        </w:numPr>
      </w:pPr>
      <w:r>
        <w:rPr>
          <w:b/>
          <w:bCs/>
        </w:rPr>
        <w:t xml:space="preserve">John 10:27–29</w:t>
      </w:r>
      <w:r>
        <w:t xml:space="preserve">:</w:t>
      </w:r>
      <w:r>
        <w:t xml:space="preserve"> </w:t>
      </w:r>
      <w:r>
        <w:t xml:space="preserve">“No one will snatch them out of my hand”</w:t>
      </w:r>
      <w:r>
        <w:t xml:space="preserve"> </w:t>
      </w:r>
      <w:r>
        <w:t xml:space="preserve">— Christ’s own guarantee of the preservation of His sheep stands behind the assurance that the once-for-all sacrifice permanently perfects those who are His, and supports the Reformed reading of the warning passages.</w:t>
      </w:r>
    </w:p>
    <w:p>
      <w:pPr>
        <w:numPr>
          <w:ilvl w:val="0"/>
          <w:numId w:val="1001"/>
        </w:numPr>
      </w:pPr>
      <w:r>
        <w:rPr>
          <w:b/>
          <w:bCs/>
        </w:rPr>
        <w:t xml:space="preserve">Romans 8:1, 33–34</w:t>
      </w:r>
      <w:r>
        <w:t xml:space="preserve">:</w:t>
      </w:r>
      <w:r>
        <w:t xml:space="preserve"> </w:t>
      </w:r>
      <w:r>
        <w:t xml:space="preserve">“No condemnation for those who are in Christ Jesus”</w:t>
      </w:r>
      <w:r>
        <w:t xml:space="preserve"> </w:t>
      </w:r>
      <w:r>
        <w:t xml:space="preserve">— Paul’s statement of the believer’s standing before God directly corroborates the argument of Hebrews 10:1–18: the sacrifice that permanently perfects eliminates all grounds for condemnation. The justified cannot be condemned; the perfected cannot require re-offering.</w:t>
      </w:r>
    </w:p>
    <w:p>
      <w:pPr>
        <w:numPr>
          <w:ilvl w:val="0"/>
          <w:numId w:val="1001"/>
        </w:numPr>
      </w:pPr>
      <w:r>
        <w:rPr>
          <w:b/>
          <w:bCs/>
        </w:rPr>
        <w:t xml:space="preserve">Habakkuk 2:3–4</w:t>
      </w:r>
      <w:r>
        <w:t xml:space="preserve"> </w:t>
      </w:r>
      <w:r>
        <w:rPr>
          <w:i/>
          <w:iCs/>
        </w:rPr>
        <w:t xml:space="preserve">(cited in Heb. 10:37–38)</w:t>
      </w:r>
      <w:r>
        <w:t xml:space="preserve">:</w:t>
      </w:r>
      <w:r>
        <w:t xml:space="preserve"> </w:t>
      </w:r>
      <w:r>
        <w:t xml:space="preserve">“The righteous shall live by faith”</w:t>
      </w:r>
      <w:r>
        <w:t xml:space="preserve"> </w:t>
      </w:r>
      <w:r>
        <w:t xml:space="preserve">— the Old Testament grounding for the epistle’s call to perseverance. The closing appeal to faith over shrinking back is not a New Testament innovation; it is the posture God has always required of His waiting, trusting people.</w:t>
      </w:r>
    </w:p>
    <w:p>
      <w:r>
        <w:pict>
          <v:rect style="width:0;height:1.5pt" o:hralign="center" o:hrstd="t" o:hr="t"/>
        </w:pict>
      </w:r>
    </w:p>
    <w:p>
      <w:pPr>
        <w:pStyle w:val="FirstParagraph"/>
      </w:pPr>
      <w:r>
        <w:rPr>
          <w:b/>
          <w:bCs/>
        </w:rPr>
        <w:t xml:space="preserve">Aim:</w:t>
      </w:r>
      <w:r>
        <w:t xml:space="preserve"> </w:t>
      </w:r>
      <w:r>
        <w:t xml:space="preserve">To move the reader from a correct but merely cognitive understanding of Christ’s finished work to a life shaped by confident access, covenantal commitment, and persevering faith — because the sufficiency of the sacrifice demands a response.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law has only a shadow of good things to come, not the realities themselves; the repeated sacrifices prove their own inadequacy — if they truly cleansed, they would have stopped; instead they are an annual reminder of sin</w:t>
            </w:r>
          </w:p>
        </w:tc>
        <w:tc>
          <w:tcPr/>
          <w:p>
            <w:pPr>
              <w:pStyle w:val="Compact"/>
            </w:pPr>
            <w:r>
              <w:t xml:space="preserve">Argument from the repetition of sacrifice: repetition = incompleteness; consciousness of sin remains</w:t>
            </w:r>
          </w:p>
        </w:tc>
      </w:tr>
      <w:tr>
        <w:tc>
          <w:tcPr/>
          <w:p>
            <w:pPr>
              <w:pStyle w:val="Compact"/>
            </w:pPr>
            <w:r>
              <w:t xml:space="preserve">5–7</w:t>
            </w:r>
          </w:p>
        </w:tc>
        <w:tc>
          <w:tcPr/>
          <w:p>
            <w:pPr>
              <w:pStyle w:val="Compact"/>
            </w:pPr>
            <w:r>
              <w:t xml:space="preserve">Psalm 40:6–8 cited: Christ at His incarnation declares that God desires not animal sacrifice but obedience —</w:t>
            </w:r>
            <w:r>
              <w:t xml:space="preserve"> </w:t>
            </w:r>
            <w:r>
              <w:t xml:space="preserve">“I have come to do your will, O God”</w:t>
            </w:r>
          </w:p>
        </w:tc>
        <w:tc>
          <w:tcPr/>
          <w:p>
            <w:pPr>
              <w:pStyle w:val="Compact"/>
            </w:pPr>
            <w:r>
              <w:t xml:space="preserve">Christological reading of the Psalm; the body prepared = the incarnate Christ; the scroll = the Father’s redemptive plan</w:t>
            </w:r>
          </w:p>
        </w:tc>
      </w:tr>
      <w:tr>
        <w:tc>
          <w:tcPr/>
          <w:p>
            <w:pPr>
              <w:pStyle w:val="Compact"/>
            </w:pPr>
            <w:r>
              <w:t xml:space="preserve">8–10</w:t>
            </w:r>
          </w:p>
        </w:tc>
        <w:tc>
          <w:tcPr/>
          <w:p>
            <w:pPr>
              <w:pStyle w:val="Compact"/>
            </w:pPr>
            <w:r>
              <w:t xml:space="preserve">The first covenant’s sacrifices are set aside; the second is established by the offering of the body of Jesus Christ once for all</w:t>
            </w:r>
          </w:p>
        </w:tc>
        <w:tc>
          <w:tcPr/>
          <w:p>
            <w:pPr>
              <w:pStyle w:val="Compact"/>
            </w:pPr>
            <w:r>
              <w:t xml:space="preserve">“Once for all”</w:t>
            </w:r>
            <w:r>
              <w:t xml:space="preserve"> </w:t>
            </w:r>
            <w:r>
              <w:t xml:space="preserve">(</w:t>
            </w:r>
            <w:r>
              <w:rPr>
                <w:i/>
                <w:iCs/>
              </w:rPr>
              <w:t xml:space="preserve">ephapax</w:t>
            </w:r>
            <w:r>
              <w:t xml:space="preserve">) — the key term; the will of God = the redemptive mission of Christ fulfilled</w:t>
            </w:r>
          </w:p>
        </w:tc>
      </w:tr>
      <w:tr>
        <w:tc>
          <w:tcPr/>
          <w:p>
            <w:pPr>
              <w:pStyle w:val="Compact"/>
            </w:pPr>
            <w:r>
              <w:t xml:space="preserve">11–14</w:t>
            </w:r>
          </w:p>
        </w:tc>
        <w:tc>
          <w:tcPr/>
          <w:p>
            <w:pPr>
              <w:pStyle w:val="Compact"/>
            </w:pPr>
            <w:r>
              <w:t xml:space="preserve">Every priest stands daily (the standing posture = perpetual service, unfinished work); Christ sat down (the seated posture = finished work); He waits for His enemies to become His footstool; by one offering He has perfected for all time those being sanctified</w:t>
            </w:r>
          </w:p>
        </w:tc>
        <w:tc>
          <w:tcPr/>
          <w:p>
            <w:pPr>
              <w:pStyle w:val="Compact"/>
            </w:pPr>
            <w:r>
              <w:t xml:space="preserve">The posture contrast is exegetically decisive: standing vs. sitting; daily vs. once; incomplete vs. perfect</w:t>
            </w:r>
          </w:p>
        </w:tc>
      </w:tr>
      <w:tr>
        <w:tc>
          <w:tcPr/>
          <w:p>
            <w:pPr>
              <w:pStyle w:val="Compact"/>
            </w:pPr>
            <w:r>
              <w:t xml:space="preserve">15–18</w:t>
            </w:r>
          </w:p>
        </w:tc>
        <w:tc>
          <w:tcPr/>
          <w:p>
            <w:pPr>
              <w:pStyle w:val="Compact"/>
            </w:pPr>
            <w:r>
              <w:t xml:space="preserve">The Holy Spirit testifies through Jeremiah 31: the new covenant — laws on hearts, sins remembered no more; where there is forgiveness, there is no longer any offering for sin</w:t>
            </w:r>
          </w:p>
        </w:tc>
        <w:tc>
          <w:tcPr/>
          <w:p>
            <w:pPr>
              <w:pStyle w:val="Compact"/>
            </w:pPr>
            <w:r>
              <w:t xml:space="preserve">The argument closes: Jer. 31 proves that the new covenant removes sin finally; the sacrificial system has no further function</w:t>
            </w:r>
          </w:p>
        </w:tc>
      </w:tr>
      <w:tr>
        <w:tc>
          <w:tcPr/>
          <w:p>
            <w:pPr>
              <w:pStyle w:val="Compact"/>
            </w:pPr>
            <w:r>
              <w:t xml:space="preserve">19–22</w:t>
            </w:r>
          </w:p>
        </w:tc>
        <w:tc>
          <w:tcPr/>
          <w:p>
            <w:pPr>
              <w:pStyle w:val="Compact"/>
            </w:pPr>
            <w:r>
              <w:t xml:space="preserve">“Therefore”</w:t>
            </w:r>
            <w:r>
              <w:t xml:space="preserve"> </w:t>
            </w:r>
            <w:r>
              <w:t xml:space="preserve">— the theological pivot; because we have confidence to enter the holy places by the blood of Jesus, through the new and living way He opened through the curtain (His flesh), and a great High Priest over the house of God — draw near with a true heart in full assurance of faith, hearts sprinkled clean, bodies washed</w:t>
            </w:r>
          </w:p>
        </w:tc>
        <w:tc>
          <w:tcPr/>
          <w:p>
            <w:pPr>
              <w:pStyle w:val="Compact"/>
            </w:pPr>
            <w:r>
              <w:t xml:space="preserve">Three grounds for drawing near (blood, way, priest); three conditions of drawing near (true heart, full assurance, sprinkled/washed)</w:t>
            </w:r>
          </w:p>
        </w:tc>
      </w:tr>
      <w:tr>
        <w:tc>
          <w:tcPr/>
          <w:p>
            <w:pPr>
              <w:pStyle w:val="Compact"/>
            </w:pPr>
            <w:r>
              <w:t xml:space="preserve">23</w:t>
            </w:r>
          </w:p>
        </w:tc>
        <w:tc>
          <w:tcPr/>
          <w:p>
            <w:pPr>
              <w:pStyle w:val="Compact"/>
            </w:pPr>
            <w:r>
              <w:t xml:space="preserve">Hold fast the confession of our hope without wavering, for He who promised is faithful</w:t>
            </w:r>
          </w:p>
        </w:tc>
        <w:tc>
          <w:tcPr/>
          <w:p>
            <w:pPr>
              <w:pStyle w:val="Compact"/>
            </w:pPr>
            <w:r>
              <w:t xml:space="preserve">Horizontal stability (holding fast) grounded in vertical faithfulness (God’s reliability)</w:t>
            </w:r>
          </w:p>
        </w:tc>
      </w:tr>
      <w:tr>
        <w:tc>
          <w:tcPr/>
          <w:p>
            <w:pPr>
              <w:pStyle w:val="Compact"/>
            </w:pPr>
            <w:r>
              <w:t xml:space="preserve">24–25</w:t>
            </w:r>
          </w:p>
        </w:tc>
        <w:tc>
          <w:tcPr/>
          <w:p>
            <w:pPr>
              <w:pStyle w:val="Compact"/>
            </w:pPr>
            <w:r>
              <w:t xml:space="preserve">Consider how to stir up one another to love and good works; do not neglect meeting together (as some are doing); encourage one another — and all the more as you see the Day approaching</w:t>
            </w:r>
          </w:p>
        </w:tc>
        <w:tc>
          <w:tcPr/>
          <w:p>
            <w:pPr>
              <w:pStyle w:val="Compact"/>
            </w:pPr>
            <w:r>
              <w:t xml:space="preserve">Corporate dimension: perseverance is communal, not solitary; eschatological urgency drives the call to assembly</w:t>
            </w:r>
          </w:p>
        </w:tc>
      </w:tr>
      <w:tr>
        <w:tc>
          <w:tcPr/>
          <w:p>
            <w:pPr>
              <w:pStyle w:val="Compact"/>
            </w:pPr>
            <w:r>
              <w:t xml:space="preserve">26–31</w:t>
            </w:r>
          </w:p>
        </w:tc>
        <w:tc>
          <w:tcPr/>
          <w:p>
            <w:pPr>
              <w:pStyle w:val="Compact"/>
            </w:pPr>
            <w:r>
              <w:t xml:space="preserve">If we go on sinning deliberately after receiving knowledge of the truth, no sacrifice remains — only a fearful expectation of judgment; the one who rejected Moses’ law died without mercy; how much worse the punishment for trampling the Son of God, treating His blood as common, insulting the Spirit of grace;</w:t>
            </w:r>
            <w:r>
              <w:t xml:space="preserve"> </w:t>
            </w:r>
            <w:r>
              <w:t xml:space="preserve">“Vengeance is mine, I will repay”</w:t>
            </w:r>
            <w:r>
              <w:t xml:space="preserve">;</w:t>
            </w:r>
            <w:r>
              <w:t xml:space="preserve"> </w:t>
            </w:r>
            <w:r>
              <w:t xml:space="preserve">“It is a fearful thing to fall into the hands of the living God”</w:t>
            </w:r>
          </w:p>
        </w:tc>
        <w:tc>
          <w:tcPr/>
          <w:p>
            <w:pPr>
              <w:pStyle w:val="Compact"/>
            </w:pPr>
            <w:r>
              <w:t xml:space="preserve">The most severe warning in the epistle; the sin in view is deliberate, willful apostasy — abandonment of Christ after confession;</w:t>
            </w:r>
            <w:r>
              <w:t xml:space="preserve"> </w:t>
            </w:r>
            <w:r>
              <w:t xml:space="preserve">“no sacrifice remains”</w:t>
            </w:r>
            <w:r>
              <w:t xml:space="preserve"> </w:t>
            </w:r>
            <w:r>
              <w:t xml:space="preserve">= having rejected the only sacrifice, no other is available</w:t>
            </w:r>
          </w:p>
        </w:tc>
      </w:tr>
      <w:tr>
        <w:tc>
          <w:tcPr/>
          <w:p>
            <w:pPr>
              <w:pStyle w:val="Compact"/>
            </w:pPr>
            <w:r>
              <w:t xml:space="preserve">32–35</w:t>
            </w:r>
          </w:p>
        </w:tc>
        <w:tc>
          <w:tcPr/>
          <w:p>
            <w:pPr>
              <w:pStyle w:val="Compact"/>
            </w:pPr>
            <w:r>
              <w:t xml:space="preserve">Recall former days: you endured suffering, were publicly exposed to reproach and affliction, stood alongside those so treated, accepted the plundering of your property joyfully — knowing you had a better possession</w:t>
            </w:r>
          </w:p>
        </w:tc>
        <w:tc>
          <w:tcPr/>
          <w:p>
            <w:pPr>
              <w:pStyle w:val="Compact"/>
            </w:pPr>
            <w:r>
              <w:t xml:space="preserve">Pastoral appeal to their own record; the history of faithfulness is itself evidence that genuine faith is present; the</w:t>
            </w:r>
            <w:r>
              <w:t xml:space="preserve"> </w:t>
            </w:r>
            <w:r>
              <w:t xml:space="preserve">“better possession”</w:t>
            </w:r>
            <w:r>
              <w:t xml:space="preserve"> </w:t>
            </w:r>
            <w:r>
              <w:t xml:space="preserve">echoes throughout Hebrews</w:t>
            </w:r>
          </w:p>
        </w:tc>
      </w:tr>
      <w:tr>
        <w:tc>
          <w:tcPr/>
          <w:p>
            <w:pPr>
              <w:pStyle w:val="Compact"/>
            </w:pPr>
            <w:r>
              <w:t xml:space="preserve">36–39</w:t>
            </w:r>
          </w:p>
        </w:tc>
        <w:tc>
          <w:tcPr/>
          <w:p>
            <w:pPr>
              <w:pStyle w:val="Compact"/>
            </w:pPr>
            <w:r>
              <w:t xml:space="preserve">You need endurance; a little while, and the coming one will come and will not delay;</w:t>
            </w:r>
            <w:r>
              <w:t xml:space="preserve"> </w:t>
            </w:r>
            <w:r>
              <w:t xml:space="preserve">“My righteous one shall live by faith”</w:t>
            </w:r>
            <w:r>
              <w:t xml:space="preserve"> </w:t>
            </w:r>
            <w:r>
              <w:t xml:space="preserve">— but</w:t>
            </w:r>
            <w:r>
              <w:t xml:space="preserve"> </w:t>
            </w:r>
            <w:r>
              <w:t xml:space="preserve">“if he shrinks back, my soul has no pleasure in him”</w:t>
            </w:r>
            <w:r>
              <w:t xml:space="preserve">;</w:t>
            </w:r>
            <w:r>
              <w:t xml:space="preserve"> </w:t>
            </w:r>
            <w:r>
              <w:t xml:space="preserve">“we are not of those who shrink back and are destroyed, but of those who have faith and preserve their souls”</w:t>
            </w:r>
          </w:p>
        </w:tc>
        <w:tc>
          <w:tcPr/>
          <w:p>
            <w:pPr>
              <w:pStyle w:val="Compact"/>
            </w:pPr>
            <w:r>
              <w:t xml:space="preserve">The confident pastoral word:</w:t>
            </w:r>
            <w:r>
              <w:t xml:space="preserve"> </w:t>
            </w:r>
            <w:r>
              <w:t xml:space="preserve">“we are not of those who shrink back”</w:t>
            </w:r>
            <w:r>
              <w:t xml:space="preserve"> </w:t>
            </w:r>
            <w:r>
              <w:t xml:space="preserve">— the author places himself and his readers on the side of faith; Hab. 2:3–4 grounds the call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1–18</w:t>
            </w:r>
          </w:p>
        </w:tc>
        <w:tc>
          <w:tcPr/>
          <w:p>
            <w:pPr>
              <w:pStyle w:val="Compact"/>
            </w:pPr>
            <w:r>
              <w:t xml:space="preserve">The Once-for-All Sacrifice: The Proof of Its Finality</w:t>
            </w:r>
          </w:p>
        </w:tc>
      </w:tr>
      <w:tr>
        <w:tc>
          <w:tcPr/>
          <w:p>
            <w:pPr>
              <w:pStyle w:val="Compact"/>
            </w:pPr>
            <w:r>
              <w:t xml:space="preserve">2</w:t>
            </w:r>
          </w:p>
        </w:tc>
        <w:tc>
          <w:tcPr/>
          <w:p>
            <w:pPr>
              <w:pStyle w:val="Compact"/>
            </w:pPr>
            <w:r>
              <w:t xml:space="preserve">19–25</w:t>
            </w:r>
          </w:p>
        </w:tc>
        <w:tc>
          <w:tcPr/>
          <w:p>
            <w:pPr>
              <w:pStyle w:val="Compact"/>
            </w:pPr>
            <w:r>
              <w:t xml:space="preserve">The Therefore: Three Commands for Those Perfected by the Sacrifice</w:t>
            </w:r>
          </w:p>
        </w:tc>
      </w:tr>
      <w:tr>
        <w:tc>
          <w:tcPr/>
          <w:p>
            <w:pPr>
              <w:pStyle w:val="Compact"/>
            </w:pPr>
            <w:r>
              <w:t xml:space="preserve">3</w:t>
            </w:r>
          </w:p>
        </w:tc>
        <w:tc>
          <w:tcPr/>
          <w:p>
            <w:pPr>
              <w:pStyle w:val="Compact"/>
            </w:pPr>
            <w:r>
              <w:t xml:space="preserve">26–31</w:t>
            </w:r>
          </w:p>
        </w:tc>
        <w:tc>
          <w:tcPr/>
          <w:p>
            <w:pPr>
              <w:pStyle w:val="Compact"/>
            </w:pPr>
            <w:r>
              <w:t xml:space="preserve">The Warning: What Is Lost When the Sacrifice Is Rejected</w:t>
            </w:r>
          </w:p>
        </w:tc>
      </w:tr>
      <w:tr>
        <w:tc>
          <w:tcPr/>
          <w:p>
            <w:pPr>
              <w:pStyle w:val="Compact"/>
            </w:pPr>
            <w:r>
              <w:t xml:space="preserve">4</w:t>
            </w:r>
          </w:p>
        </w:tc>
        <w:tc>
          <w:tcPr/>
          <w:p>
            <w:pPr>
              <w:pStyle w:val="Compact"/>
            </w:pPr>
            <w:r>
              <w:t xml:space="preserve">32–39</w:t>
            </w:r>
          </w:p>
        </w:tc>
        <w:tc>
          <w:tcPr/>
          <w:p>
            <w:pPr>
              <w:pStyle w:val="Compact"/>
            </w:pPr>
            <w:r>
              <w:t xml:space="preserve">The Encouragement: Recall, Endure, and Do Not Shrink Back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Christ’s once-for-all sacrifice perfects believers and demands bold, persevering faithfulness.</w:t>
      </w:r>
    </w:p>
    <w:p>
      <w:pPr>
        <w:pStyle w:val="BodyText"/>
      </w:pPr>
      <w:r>
        <w:rPr>
          <w:b/>
          <w:bCs/>
        </w:rPr>
        <w:t xml:space="preserve">Primary Claim:</w:t>
      </w:r>
      <w:r>
        <w:t xml:space="preserve"> </w:t>
      </w:r>
      <w:r>
        <w:t xml:space="preserve">Because Christ’s single sacrifice has permanently perfected all who are His, God is calling His people to stop treating their access to Him as uncertain, stop drifting from covenant community, and persevere in faith — the Day is coming and there is nowhere else to go.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living as though your sin requires ongoing payment.</w:t>
      </w:r>
      <w:r>
        <w:t xml:space="preserve"> </w:t>
      </w:r>
      <w:r>
        <w:rPr>
          <w:i/>
          <w:iCs/>
        </w:rPr>
        <w:t xml:space="preserve">(Mind/Belief)</w:t>
      </w:r>
      <w:r>
        <w:t xml:space="preserve"> </w:t>
      </w:r>
      <w:r>
        <w:t xml:space="preserve">The entire argument of the first eighteen verses exists to dislodge a single error: the belief, felt if not formally held, that sin keeps accumulating a debt not yet fully covered. The annual return to sacrifice in the Levitical system trained the conscience to think this way — and our conscience still wants to think this way. Hebrews 10 drives a stake through that pattern of thought. Christ sat down because the work is done. The new covenant declares sins remembered no more. If you are in Christ, there is no outstanding account. To live as though there is — to be perpetually burdened, perpetually unsure, perpetually performing to maintain standing — is to deny what Hebrews 10 claims. Believe what the text says about your standing. The sacrifice is complete and you are perfected in it.</w:t>
      </w:r>
    </w:p>
    <w:p>
      <w:pPr>
        <w:pStyle w:val="BodyText"/>
      </w:pPr>
      <w:r>
        <w:rPr>
          <w:b/>
          <w:bCs/>
        </w:rPr>
        <w:t xml:space="preserve">2. Draw near — not cautiously, not tentatively, but with the bold confidence Christ’s blood has purchased for you.</w:t>
      </w:r>
      <w:r>
        <w:t xml:space="preserve"> </w:t>
      </w:r>
      <w:r>
        <w:rPr>
          <w:i/>
          <w:iCs/>
        </w:rPr>
        <w:t xml:space="preserve">(Will/Behavior)</w:t>
      </w:r>
      <w:r>
        <w:t xml:space="preserve"> </w:t>
      </w:r>
      <w:r>
        <w:t xml:space="preserve">The</w:t>
      </w:r>
      <w:r>
        <w:t xml:space="preserve"> </w:t>
      </w:r>
      <w:r>
        <w:t xml:space="preserve">“therefore”</w:t>
      </w:r>
      <w:r>
        <w:t xml:space="preserve"> </w:t>
      </w:r>
      <w:r>
        <w:t xml:space="preserve">of verse 19 demands a behavioral change, not merely a theological adjustment. The readers were drifting away from the assembly, wavering in their confession, and losing the habit of approach to God — likely because persecution made public identification with Christ costly. The text does not respond with sympathy for their caution; it responds with a command:</w:t>
      </w:r>
      <w:r>
        <w:t xml:space="preserve"> </w:t>
      </w:r>
      <w:r>
        <w:rPr>
          <w:i/>
          <w:iCs/>
        </w:rPr>
        <w:t xml:space="preserve">draw near</w:t>
      </w:r>
      <w:r>
        <w:t xml:space="preserve">. The blood of Jesus has opened a new and living way. The curtain is torn. The High Priest is great and He is yours. What you are doing when you stay away, when you privatize your faith, when you neglect the means of grace, is treating the new and living way as though it is still closed. It is not closed. Draw near.</w:t>
      </w:r>
    </w:p>
    <w:p>
      <w:pPr>
        <w:pStyle w:val="BodyText"/>
      </w:pPr>
      <w:r>
        <w:rPr>
          <w:b/>
          <w:bCs/>
        </w:rPr>
        <w:t xml:space="preserve">3. Feel the weight of what apostasy would mean — not so that you live in fear, but so that you do not treat the gospel as expendable.</w:t>
      </w:r>
      <w:r>
        <w:t xml:space="preserve"> </w:t>
      </w:r>
      <w:r>
        <w:rPr>
          <w:i/>
          <w:iCs/>
        </w:rPr>
        <w:t xml:space="preserve">(Affections/Worship)</w:t>
      </w:r>
      <w:r>
        <w:t xml:space="preserve"> </w:t>
      </w:r>
      <w:r>
        <w:t xml:space="preserve">Verses 26–31 are not designed to make genuine believers doubt their salvation. They are designed to produce a settled, sober estimation of the worth of what they hold. The one who tramples the Son of God, treats His blood as a common thing, and insults the Spirit of grace is not described as someone who made an understandable mistake — the language is catastrophic. This severity is a gift: it calibrates the heart’s sense of what Christ’s sacrifice actually cost and what it is actually worth. If you find the warning passages easy to read past without flinching, your affections have been numbed. Let them do what they are designed to do — produce in you a reverent, worshipful grip on what has been given to you at infinite cost.</w:t>
      </w:r>
    </w:p>
    <w:p>
      <w:pPr>
        <w:pStyle w:val="BodyText"/>
      </w:pPr>
      <w:r>
        <w:rPr>
          <w:b/>
          <w:bCs/>
        </w:rPr>
        <w:t xml:space="preserve">4. Take your place in the assembly as an act of covenantal faithfulness, not merely personal preference.</w:t>
      </w:r>
      <w:r>
        <w:t xml:space="preserve"> </w:t>
      </w:r>
      <w:r>
        <w:rPr>
          <w:i/>
          <w:iCs/>
        </w:rPr>
        <w:t xml:space="preserve">(Will/Behavior)</w:t>
      </w:r>
      <w:r>
        <w:t xml:space="preserve"> </w:t>
      </w:r>
      <w:r>
        <w:t xml:space="preserve">Verse 25 is one of the most commonly extracted verses in the epistle, and its force is usually softened into an encouragement about church attendance. But in context,</w:t>
      </w:r>
      <w:r>
        <w:t xml:space="preserve"> </w:t>
      </w:r>
      <w:r>
        <w:t xml:space="preserve">“not neglecting to meet together”</w:t>
      </w:r>
      <w:r>
        <w:t xml:space="preserve"> </w:t>
      </w:r>
      <w:r>
        <w:t xml:space="preserve">is part of a three-fold exhortation driven by eschatological urgency — the Day is approaching. The assembly is not a spiritual resource you access when you need a refill; it is the covenantal community within which mutual accountability, stirring up to love, and encouragement in perseverance happen. The readers were drifting from it under pressure. The text treats that drift as serious. Your presence in the assembly is not for you alone — you are there to consider how to</w:t>
      </w:r>
      <w:r>
        <w:t xml:space="preserve"> </w:t>
      </w:r>
      <w:r>
        <w:rPr>
          <w:i/>
          <w:iCs/>
        </w:rPr>
        <w:t xml:space="preserve">stir up</w:t>
      </w:r>
      <w:r>
        <w:t xml:space="preserve"> </w:t>
      </w:r>
      <w:r>
        <w:t xml:space="preserve">others to love and good works. Your absence removes something that belongs to others.</w:t>
      </w:r>
    </w:p>
    <w:p>
      <w:pPr>
        <w:pStyle w:val="BodyText"/>
      </w:pPr>
      <w:r>
        <w:rPr>
          <w:b/>
          <w:bCs/>
        </w:rPr>
        <w:t xml:space="preserve">5. Preach to yourself from your own history of faithfulness — God has kept you before, and His faithfulness is the ground of your confidence going forward.</w:t>
      </w:r>
      <w:r>
        <w:t xml:space="preserve"> </w:t>
      </w:r>
      <w:r>
        <w:rPr>
          <w:i/>
          <w:iCs/>
        </w:rPr>
        <w:t xml:space="preserve">(Mind/Belief)</w:t>
      </w:r>
      <w:r>
        <w:t xml:space="preserve"> </w:t>
      </w:r>
      <w:r>
        <w:t xml:space="preserve">The pastoral strategy of verses 32–35 is remarkable: the author does not generate confidence by minimizing the difficulty of the readers’ situation; he generates it by reminding them of what they have already survived.</w:t>
      </w:r>
      <w:r>
        <w:t xml:space="preserve"> </w:t>
      </w:r>
      <w:r>
        <w:t xml:space="preserve">“Recall the former days”</w:t>
      </w:r>
      <w:r>
        <w:t xml:space="preserve"> </w:t>
      </w:r>
      <w:r>
        <w:t xml:space="preserve">— you endured. You stood alongside the suffering. You accepted the plundering of your property joyfully, knowing you had a better possession. The endurance they need (v. 36) is not something foreign to their experience; it is something they have already demonstrated. Your own history of grace is evidence for your future perseverance — not because your faithfulness is the foundation, but because God’s faithfulness in sustaining you then is evidence of His faithfulness to sustain you now. Recall it. Preach it to yourself. Then endure.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10 is the epistle’s fullest and most concentrated statement of the absolute sufficiency of Christ’s priestly sacrifice. The passage teaches that the inadequacy of the Levitical system was not incidental but structural — the very mechanism of annual repetition testified to the system’s inability to accomplish what it pointed toward. Against that inadequacy, the text sets the single, unrepeatable, permanently efficacious sacrifice of Christ, who fulfilled the Father’s will by offering the body prepared for Him. The result is a perfected standing before God for all who are His — a perfecting that is positional, total, and irrevocable. God’s own declaration through Jeremiah 31 —</w:t>
      </w:r>
      <w:r>
        <w:t xml:space="preserve"> </w:t>
      </w:r>
      <w:r>
        <w:t xml:space="preserve">“I will remember their sins no more”</w:t>
      </w:r>
      <w:r>
        <w:t xml:space="preserve"> </w:t>
      </w:r>
      <w:r>
        <w:t xml:space="preserve">— is the theological seal: the new covenant achieves what the old covenant anticipated, and its achievement is final. This passage therefore defines both the nature of Christ’s priesthood (superior to Aaron in kind, not merely degree) and the nature of the believer’s standing before God (perfected, not improving; complete, not accumulating).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10 is one of the most important texts in the Reformed theological tradition for the doctrines of definitive sanctification, the finished work of Christ, and the nature of the new covenant. The text’s insistence on</w:t>
      </w:r>
      <w:r>
        <w:t xml:space="preserve"> </w:t>
      </w:r>
      <w:r>
        <w:rPr>
          <w:i/>
          <w:iCs/>
        </w:rPr>
        <w:t xml:space="preserve">ephapax</w:t>
      </w:r>
      <w:r>
        <w:t xml:space="preserve"> </w:t>
      </w:r>
      <w:r>
        <w:t xml:space="preserve">— once for all — stands as the exegetical foundation for Reformed rejection of any sacrificial continuation of Christ’s offering in subsequent ritual. The declaration that Christ</w:t>
      </w:r>
      <w:r>
        <w:t xml:space="preserve"> </w:t>
      </w:r>
      <w:r>
        <w:t xml:space="preserve">“sat down”</w:t>
      </w:r>
      <w:r>
        <w:t xml:space="preserve"> </w:t>
      </w:r>
      <w:r>
        <w:t xml:space="preserve">having offered</w:t>
      </w:r>
      <w:r>
        <w:t xml:space="preserve"> </w:t>
      </w:r>
      <w:r>
        <w:t xml:space="preserve">“a single sacrifice for sins”</w:t>
      </w:r>
      <w:r>
        <w:t xml:space="preserve"> </w:t>
      </w:r>
      <w:r>
        <w:t xml:space="preserve">is the basis for the Reformation’s recovery of a clear distinction between Christ’s finished atoning work and any ongoing human sacerdotal system. Furthermore, the passage’s pattern — objective theological reality generating imperative response — exemplifies the Reformed understanding of the relation between indicative and imperative: it is precisely because the sacrifice is complete and the standing is secured that the commands to draw near, hold fast, and persevere carry their full weight. Moralism would generate these commands from obligation; Hebrews generates them from accomplished grace. The warning passages, read through the lens of covenant theology, display the Reformed understanding that genuine preservation works through, not around, means — including the means of serious warning to the visible covenant community.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Christ’s sacrifice is finished — completely, finally, and permanently. Your standing before God is not in question, not improving, and not dependent on what you bring. But that finished work is not a license for drift; it is the only ground on which bold approach, steady confession, and sustained perseverance become possible. Draw near. Hold fast. Stir up your brothers and sisters. Do not shrink back. The one who is coming will come — and He is coming for those who live by faith.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warning passages (vv. 26–31) in one of two distorted directions.</w:t>
      </w:r>
      <w:r>
        <w:t xml:space="preserve"> </w:t>
      </w:r>
      <w:r>
        <w:t xml:space="preserve">Either the warnings are emptied of genuine force (</w:t>
      </w:r>
      <w:r>
        <w:t xml:space="preserve">“this is hypothetical”</w:t>
      </w:r>
      <w:r>
        <w:t xml:space="preserve"> </w:t>
      </w:r>
      <w:r>
        <w:t xml:space="preserve">or</w:t>
      </w:r>
      <w:r>
        <w:t xml:space="preserve"> </w:t>
      </w:r>
      <w:r>
        <w:t xml:space="preserve">“this describes a non-Christian”</w:t>
      </w:r>
      <w:r>
        <w:t xml:space="preserve">) so that the congregation never feels their urgency — or they are preached with such unrelenting severity that genuine believers are left in paralyzed fear rather than renewed resolve. The pastoral rhythm of the passage itself is the corrective: severe warning (vv. 26–31) followed immediately by confident encouragement rooted in their own faithfulness record (vv. 32–35) and then by the author’s own confident identification:</w:t>
      </w:r>
      <w:r>
        <w:t xml:space="preserve"> </w:t>
      </w:r>
      <w:r>
        <w:t xml:space="preserve">“we are not of those who shrink back”</w:t>
      </w:r>
      <w:r>
        <w:t xml:space="preserve"> </w:t>
      </w:r>
      <w:r>
        <w:t xml:space="preserve">(v. 39). Preach the warning with full severity, then follow the text’s own movement toward assurance. Do not stop at verse 31.</w:t>
      </w:r>
    </w:p>
    <w:p>
      <w:pPr>
        <w:numPr>
          <w:ilvl w:val="0"/>
          <w:numId w:val="1002"/>
        </w:numPr>
      </w:pPr>
      <w:r>
        <w:rPr>
          <w:b/>
          <w:bCs/>
        </w:rPr>
        <w:t xml:space="preserve">Treating</w:t>
      </w:r>
      <w:r>
        <w:rPr>
          <w:b/>
          <w:bCs/>
        </w:rPr>
        <w:t xml:space="preserve"> </w:t>
      </w:r>
      <w:r>
        <w:rPr>
          <w:b/>
          <w:bCs/>
        </w:rPr>
        <w:t xml:space="preserve">“do not neglect to meet together”</w:t>
      </w:r>
      <w:r>
        <w:rPr>
          <w:b/>
          <w:bCs/>
        </w:rPr>
        <w:t xml:space="preserve"> </w:t>
      </w:r>
      <w:r>
        <w:rPr>
          <w:b/>
          <w:bCs/>
        </w:rPr>
        <w:t xml:space="preserve">(v. 25) as a simple attendance imperative.</w:t>
      </w:r>
      <w:r>
        <w:t xml:space="preserve"> </w:t>
      </w:r>
      <w:r>
        <w:t xml:space="preserve">This verse is frequently extracted and used as a standalone church-attendance argument, which is not wrong in itself but misses the passage’s eschatological and communal force. In context, the command is one of three imperatives rooted in the sufficiency of the sacrifice (draw near, hold fast, stir up / do not neglect). It is specifically framed by the goal of mutual stirring to love and good works, and it is eschatologically driven —</w:t>
      </w:r>
      <w:r>
        <w:t xml:space="preserve"> </w:t>
      </w:r>
      <w:r>
        <w:t xml:space="preserve">“all the more as you see the Day approaching.”</w:t>
      </w:r>
      <w:r>
        <w:t xml:space="preserve"> </w:t>
      </w:r>
      <w:r>
        <w:t xml:space="preserve">The preaching should capture all three elements: the corporate nature, the mutual accountability purpose, and the urgency of the approaching Day.</w:t>
      </w:r>
    </w:p>
    <w:p>
      <w:pPr>
        <w:numPr>
          <w:ilvl w:val="0"/>
          <w:numId w:val="1002"/>
        </w:numPr>
      </w:pPr>
      <w:r>
        <w:rPr>
          <w:b/>
          <w:bCs/>
        </w:rPr>
        <w:t xml:space="preserve">Preaching the</w:t>
      </w:r>
      <w:r>
        <w:rPr>
          <w:b/>
          <w:bCs/>
        </w:rPr>
        <w:t xml:space="preserve"> </w:t>
      </w:r>
      <w:r>
        <w:rPr>
          <w:b/>
          <w:bCs/>
        </w:rPr>
        <w:t xml:space="preserve">“once for all”</w:t>
      </w:r>
      <w:r>
        <w:rPr>
          <w:b/>
          <w:bCs/>
        </w:rPr>
        <w:t xml:space="preserve"> </w:t>
      </w:r>
      <w:r>
        <w:rPr>
          <w:b/>
          <w:bCs/>
        </w:rPr>
        <w:t xml:space="preserve">argument as primarily polemical.</w:t>
      </w:r>
      <w:r>
        <w:t xml:space="preserve"> </w:t>
      </w:r>
      <w:r>
        <w:t xml:space="preserve">It is tempting to use vv. 1–18 primarily as a doctrinal argument against Roman Catholic sacramentalism (or any form of ongoing offering). While the doctrinal point is exegetically sound and important, the original pastoral purpose of the text is not primarily doctrinal polemic — it is to settle the consciences of Jewish believers being pressured to return to the Levitical system. The pastoral application is therefore primarily positive: your conscience can be fully settled because the sacrifice is finished. Preach the sufficiency as pastoral assurance before it is theological correction.</w:t>
      </w:r>
    </w:p>
    <w:p>
      <w:pPr>
        <w:numPr>
          <w:ilvl w:val="0"/>
          <w:numId w:val="1002"/>
        </w:numPr>
      </w:pPr>
      <w:r>
        <w:rPr>
          <w:b/>
          <w:bCs/>
        </w:rPr>
        <w:t xml:space="preserve">Losing the</w:t>
      </w:r>
      <w:r>
        <w:rPr>
          <w:b/>
          <w:bCs/>
        </w:rPr>
        <w:t xml:space="preserve"> </w:t>
      </w:r>
      <w:r>
        <w:rPr>
          <w:b/>
          <w:bCs/>
        </w:rPr>
        <w:t xml:space="preserve">“therefore”</w:t>
      </w:r>
      <w:r>
        <w:rPr>
          <w:b/>
          <w:bCs/>
        </w:rPr>
        <w:t xml:space="preserve"> </w:t>
      </w:r>
      <w:r>
        <w:rPr>
          <w:b/>
          <w:bCs/>
        </w:rPr>
        <w:t xml:space="preserve">logic — preaching theology and application as separate compartments.</w:t>
      </w:r>
      <w:r>
        <w:t xml:space="preserve"> </w:t>
      </w:r>
      <w:r>
        <w:t xml:space="preserve">The structure of Hebrews 10 is precisely designed to make theological reality bear imperative weight. The</w:t>
      </w:r>
      <w:r>
        <w:t xml:space="preserve"> </w:t>
      </w:r>
      <w:r>
        <w:t xml:space="preserve">“therefore”</w:t>
      </w:r>
      <w:r>
        <w:t xml:space="preserve"> </w:t>
      </w:r>
      <w:r>
        <w:t xml:space="preserve">of verse 19 is load-bearing: these commands are possible and obligatory</w:t>
      </w:r>
      <w:r>
        <w:t xml:space="preserve"> </w:t>
      </w:r>
      <w:r>
        <w:rPr>
          <w:i/>
          <w:iCs/>
        </w:rPr>
        <w:t xml:space="preserve">because</w:t>
      </w:r>
      <w:r>
        <w:t xml:space="preserve"> </w:t>
      </w:r>
      <w:r>
        <w:t xml:space="preserve">of what has just been established. A sermon that treats vv. 1–18 as</w:t>
      </w:r>
      <w:r>
        <w:t xml:space="preserve"> </w:t>
      </w:r>
      <w:r>
        <w:t xml:space="preserve">“the doctrine section”</w:t>
      </w:r>
      <w:r>
        <w:t xml:space="preserve"> </w:t>
      </w:r>
      <w:r>
        <w:t xml:space="preserve">and vv. 19–25 as</w:t>
      </w:r>
      <w:r>
        <w:t xml:space="preserve"> </w:t>
      </w:r>
      <w:r>
        <w:t xml:space="preserve">“the application section”</w:t>
      </w:r>
      <w:r>
        <w:t xml:space="preserve"> </w:t>
      </w:r>
      <w:r>
        <w:t xml:space="preserve">without pressing the therefore connection has failed to preach the passage’s own logic. The confidence to draw near is grounded in the blood, the way, and the High Priest — remove the grounding and the commands become moralistic imperatives. Preach the connection.</w:t>
      </w:r>
    </w:p>
    <w:p>
      <w:pPr>
        <w:numPr>
          <w:ilvl w:val="0"/>
          <w:numId w:val="1002"/>
        </w:numPr>
      </w:pPr>
      <w:r>
        <w:rPr>
          <w:b/>
          <w:bCs/>
        </w:rPr>
        <w:t xml:space="preserve">Missing the communal and eschatological frame of the perseverance call.</w:t>
      </w:r>
      <w:r>
        <w:t xml:space="preserve"> </w:t>
      </w:r>
      <w:r>
        <w:t xml:space="preserve">The perseverance language in vv. 36–39 is frequently personalized and individualized:</w:t>
      </w:r>
      <w:r>
        <w:t xml:space="preserve"> </w:t>
      </w:r>
      <w:r>
        <w:t xml:space="preserve">“you need endurance; keep going.”</w:t>
      </w:r>
      <w:r>
        <w:t xml:space="preserve"> </w:t>
      </w:r>
      <w:r>
        <w:t xml:space="preserve">This is not wrong, but it strips the eschatological context (</w:t>
      </w:r>
      <w:r>
        <w:t xml:space="preserve">“a little while, and the coming one will come”</w:t>
      </w:r>
      <w:r>
        <w:t xml:space="preserve">) and the communal context (endurance is sustained through the assembly, mutual encouragement, and shared suffering — vv. 32–34). Biblical perseverance in Hebrews is never a solitary spiritual discipline; it is the life of a covenant people sustaining one another until the Day. Preach it that way.</w:t>
      </w:r>
    </w:p>
    <w:p>
      <w:pPr>
        <w:numPr>
          <w:ilvl w:val="0"/>
          <w:numId w:val="1002"/>
        </w:numPr>
      </w:pPr>
      <w:r>
        <w:rPr>
          <w:b/>
          <w:bCs/>
        </w:rPr>
        <w:t xml:space="preserve">Underweighting the seated Christ.</w:t>
      </w:r>
      <w:r>
        <w:t xml:space="preserve"> </w:t>
      </w:r>
      <w:r>
        <w:t xml:space="preserve">The posture contrast in vv. 11–12 — every Levitical priest stands daily (implying ongoing, unfinished work); Christ sat down (implying completed, sufficient work) — is one of the most visually and theologically potent images in the entire epistle. It is easy to move past it quickly in the argument. Do not. The seated Christ is the image that carries the entire burden of the</w:t>
      </w:r>
      <w:r>
        <w:t xml:space="preserve"> </w:t>
      </w:r>
      <w:r>
        <w:t xml:space="preserve">“finished work”</w:t>
      </w:r>
      <w:r>
        <w:t xml:space="preserve"> </w:t>
      </w:r>
      <w:r>
        <w:t xml:space="preserve">claim. Let it land. A priest who sits down has done what a priest could not finish doing. That is the gospel.</w:t>
      </w:r>
    </w:p>
    <w:p>
      <w:r>
        <w:pict>
          <v:rect style="width:0;height:1.5pt" o:hralign="center" o:hrstd="t" o:hr="t"/>
        </w:pict>
      </w:r>
    </w:p>
    <w:p>
      <w:pPr>
        <w:pStyle w:val="FirstParagraph"/>
      </w:pPr>
      <w:r>
        <w:rPr>
          <w:i/>
          <w:iCs/>
        </w:rPr>
        <w:t xml:space="preserve">Analysis generated under CLAUDE2.md framework. File: 58 Hebrews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2026-07-14T21:08:25Z</dcterms:created>
  <dcterms:modified xsi:type="dcterms:W3CDTF">2026-07-14T21:08:25Z</dcterms:modified>
</cp:coreProperties>
</file>

<file path=docProps/custom.xml><?xml version="1.0" encoding="utf-8"?>
<Properties xmlns="http://schemas.openxmlformats.org/officeDocument/2006/custom-properties" xmlns:vt="http://schemas.openxmlformats.org/officeDocument/2006/docPropsVTypes"/>
</file>